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859" w:rsidRDefault="004E1859" w:rsidP="008A36A5">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4E1859" w:rsidRDefault="004E1859" w:rsidP="008A36A5">
      <w:pPr>
        <w:spacing w:line="480" w:lineRule="auto"/>
        <w:rPr>
          <w:rFonts w:ascii="Times New Roman" w:hAnsi="Times New Roman" w:cs="Times New Roman"/>
          <w:sz w:val="24"/>
          <w:szCs w:val="24"/>
        </w:rPr>
      </w:pPr>
      <w:r>
        <w:rPr>
          <w:rFonts w:ascii="Times New Roman" w:hAnsi="Times New Roman" w:cs="Times New Roman"/>
          <w:sz w:val="24"/>
          <w:szCs w:val="24"/>
        </w:rPr>
        <w:t xml:space="preserve">Professor </w:t>
      </w:r>
    </w:p>
    <w:p w:rsidR="004E1859" w:rsidRDefault="004E1859" w:rsidP="008A36A5">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4E1859" w:rsidRPr="00352054" w:rsidRDefault="004E1859" w:rsidP="008A36A5">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4E1859" w:rsidRPr="00DD4BDE" w:rsidRDefault="004E1859" w:rsidP="008A36A5">
      <w:pPr>
        <w:widowControl w:val="0"/>
        <w:spacing w:after="0" w:line="480" w:lineRule="auto"/>
        <w:contextualSpacing/>
        <w:jc w:val="center"/>
        <w:rPr>
          <w:rFonts w:ascii="Times New Roman" w:eastAsia="Calibri" w:hAnsi="Times New Roman" w:cs="Times New Roman"/>
          <w:b/>
          <w:sz w:val="24"/>
          <w:szCs w:val="24"/>
          <w:shd w:val="clear" w:color="auto" w:fill="FFFFFF"/>
          <w:lang w:val="en-US"/>
        </w:rPr>
      </w:pPr>
      <w:r w:rsidRPr="00C03209">
        <w:rPr>
          <w:rFonts w:ascii="Times New Roman" w:eastAsia="Calibri" w:hAnsi="Times New Roman" w:cs="Times New Roman"/>
          <w:b/>
          <w:sz w:val="24"/>
          <w:szCs w:val="24"/>
          <w:lang w:val="en-US"/>
        </w:rPr>
        <w:t xml:space="preserve">Role of </w:t>
      </w:r>
      <w:r w:rsidRPr="00C03209">
        <w:rPr>
          <w:rFonts w:ascii="Times New Roman" w:eastAsia="Calibri" w:hAnsi="Times New Roman" w:cs="Times New Roman"/>
          <w:b/>
          <w:sz w:val="24"/>
          <w:szCs w:val="24"/>
          <w:shd w:val="clear" w:color="auto" w:fill="FFFFFF"/>
          <w:lang w:val="en-US"/>
        </w:rPr>
        <w:t xml:space="preserve">telemedicine programs </w:t>
      </w:r>
      <w:r w:rsidRPr="00C03209">
        <w:rPr>
          <w:rFonts w:ascii="Times New Roman" w:eastAsia="Calibri" w:hAnsi="Times New Roman" w:cs="Times New Roman"/>
          <w:b/>
          <w:noProof/>
          <w:sz w:val="24"/>
          <w:szCs w:val="24"/>
          <w:shd w:val="clear" w:color="auto" w:fill="FFFFFF"/>
          <w:lang w:val="en-US"/>
        </w:rPr>
        <w:t>such as</w:t>
      </w:r>
      <w:r w:rsidRPr="00C03209">
        <w:rPr>
          <w:rFonts w:ascii="Times New Roman" w:eastAsia="Calibri" w:hAnsi="Times New Roman" w:cs="Times New Roman"/>
          <w:b/>
          <w:sz w:val="24"/>
          <w:szCs w:val="24"/>
          <w:shd w:val="clear" w:color="auto" w:fill="FFFFFF"/>
          <w:lang w:val="en-US"/>
        </w:rPr>
        <w:t xml:space="preserve"> URMC’s in reducing health disparities and</w:t>
      </w:r>
      <w:r w:rsidRPr="00C03209">
        <w:rPr>
          <w:rFonts w:ascii="Times New Roman" w:eastAsia="Calibri" w:hAnsi="Times New Roman" w:cs="Times New Roman"/>
          <w:sz w:val="24"/>
          <w:szCs w:val="24"/>
          <w:shd w:val="clear" w:color="auto" w:fill="FFFFFF"/>
          <w:lang w:val="en-US"/>
        </w:rPr>
        <w:t xml:space="preserve"> </w:t>
      </w:r>
      <w:r w:rsidRPr="00C03209">
        <w:rPr>
          <w:rFonts w:ascii="Times New Roman" w:eastAsia="Calibri" w:hAnsi="Times New Roman" w:cs="Times New Roman"/>
          <w:b/>
          <w:sz w:val="24"/>
          <w:szCs w:val="24"/>
          <w:shd w:val="clear" w:color="auto" w:fill="FFFFFF"/>
          <w:lang w:val="en-US"/>
        </w:rPr>
        <w:t>inequalities for patients in underserved areas of the community or of lower economic status.</w:t>
      </w:r>
    </w:p>
    <w:p w:rsidR="004E1859" w:rsidRPr="00C03209" w:rsidRDefault="004E1859" w:rsidP="008A36A5">
      <w:pPr>
        <w:spacing w:line="480" w:lineRule="auto"/>
        <w:ind w:firstLine="720"/>
        <w:rPr>
          <w:rFonts w:ascii="Times New Roman" w:eastAsia="Calibri" w:hAnsi="Times New Roman" w:cs="Times New Roman"/>
          <w:sz w:val="24"/>
          <w:szCs w:val="24"/>
        </w:rPr>
      </w:pPr>
      <w:r w:rsidRPr="00C03209">
        <w:rPr>
          <w:rFonts w:ascii="Times New Roman" w:eastAsia="Calibri" w:hAnsi="Times New Roman" w:cs="Times New Roman"/>
          <w:sz w:val="24"/>
          <w:szCs w:val="24"/>
        </w:rPr>
        <w:t>Telemedicine is more convenient and accessible for patient care. Convenience is a key factor; patients prefer easy access to healthcare services over in-person interaction with providers. Telemedicine allows virtual care practice for patients, which reduces the waste of time and cost of most in-person visits. Patients living in a remote location or who are homebound or just can't take off time at work can access care virtually.</w:t>
      </w:r>
    </w:p>
    <w:p w:rsidR="004E1859" w:rsidRPr="00C03209" w:rsidRDefault="004E1859" w:rsidP="008A36A5">
      <w:pPr>
        <w:spacing w:line="480" w:lineRule="auto"/>
        <w:ind w:firstLine="720"/>
        <w:rPr>
          <w:rFonts w:ascii="Times New Roman" w:eastAsia="Calibri" w:hAnsi="Times New Roman" w:cs="Times New Roman"/>
          <w:sz w:val="24"/>
          <w:szCs w:val="24"/>
        </w:rPr>
      </w:pPr>
      <w:r w:rsidRPr="00C03209">
        <w:rPr>
          <w:rFonts w:ascii="Times New Roman" w:eastAsia="Calibri" w:hAnsi="Times New Roman" w:cs="Times New Roman"/>
          <w:sz w:val="24"/>
          <w:szCs w:val="24"/>
        </w:rPr>
        <w:t xml:space="preserve">Increased patient engagement. When patients are engaged through telemedicine, it helps them maintain appointments and care schedules. Not only do virtual visits reassure patients that their providers are available and involved in their care, but it also makes it easier to reach them with questions, reports, early warnings signs, and make a follow-up appointment to make sure they are on </w:t>
      </w:r>
      <w:proofErr w:type="gramStart"/>
      <w:r w:rsidRPr="00C03209">
        <w:rPr>
          <w:rFonts w:ascii="Times New Roman" w:eastAsia="Calibri" w:hAnsi="Times New Roman" w:cs="Times New Roman"/>
          <w:sz w:val="24"/>
          <w:szCs w:val="24"/>
        </w:rPr>
        <w:t>track</w:t>
      </w:r>
      <w:r>
        <w:rPr>
          <w:rFonts w:ascii="Times New Roman" w:eastAsia="Calibri" w:hAnsi="Times New Roman" w:cs="Times New Roman"/>
          <w:sz w:val="24"/>
          <w:szCs w:val="24"/>
        </w:rPr>
        <w:t xml:space="preserve"> </w:t>
      </w:r>
      <w:r w:rsidRPr="00964BEB">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w:t>
      </w:r>
      <w:proofErr w:type="gramEnd"/>
      <w:r w:rsidRPr="00964BEB">
        <w:rPr>
          <w:rFonts w:ascii="Times New Roman" w:eastAsia="Calibri" w:hAnsi="Times New Roman" w:cs="Times New Roman"/>
          <w:sz w:val="24"/>
          <w:szCs w:val="24"/>
          <w:lang w:val="en-US"/>
        </w:rPr>
        <w:t xml:space="preserve">Lathrop, B., &amp; </w:t>
      </w:r>
      <w:proofErr w:type="spellStart"/>
      <w:r w:rsidRPr="00964BEB">
        <w:rPr>
          <w:rFonts w:ascii="Times New Roman" w:eastAsia="Calibri" w:hAnsi="Times New Roman" w:cs="Times New Roman"/>
          <w:sz w:val="24"/>
          <w:szCs w:val="24"/>
          <w:lang w:val="en-US"/>
        </w:rPr>
        <w:t>Hodnicki</w:t>
      </w:r>
      <w:proofErr w:type="spellEnd"/>
      <w:r w:rsidRPr="00964BEB">
        <w:rPr>
          <w:rFonts w:ascii="Times New Roman" w:eastAsia="Calibri" w:hAnsi="Times New Roman" w:cs="Times New Roman"/>
          <w:sz w:val="24"/>
          <w:szCs w:val="24"/>
          <w:lang w:val="en-US"/>
        </w:rPr>
        <w:t xml:space="preserve">, D. </w:t>
      </w:r>
      <w:r>
        <w:rPr>
          <w:rFonts w:ascii="Times New Roman" w:eastAsia="Calibri" w:hAnsi="Times New Roman" w:cs="Times New Roman"/>
          <w:sz w:val="24"/>
          <w:szCs w:val="24"/>
          <w:lang w:val="en-US"/>
        </w:rPr>
        <w:t xml:space="preserve">R.19 </w:t>
      </w:r>
      <w:r w:rsidRPr="00964BEB">
        <w:rPr>
          <w:rFonts w:ascii="Times New Roman" w:eastAsia="Calibri" w:hAnsi="Times New Roman" w:cs="Times New Roman"/>
          <w:sz w:val="24"/>
          <w:szCs w:val="24"/>
          <w:lang w:val="en-US"/>
        </w:rPr>
        <w:t>).</w:t>
      </w:r>
    </w:p>
    <w:p w:rsidR="004E1859" w:rsidRPr="00C03209" w:rsidRDefault="004E1859" w:rsidP="008A36A5">
      <w:pPr>
        <w:spacing w:line="480" w:lineRule="auto"/>
        <w:rPr>
          <w:rFonts w:ascii="Times New Roman" w:eastAsia="Calibri" w:hAnsi="Times New Roman" w:cs="Times New Roman"/>
          <w:sz w:val="24"/>
          <w:szCs w:val="24"/>
        </w:rPr>
      </w:pPr>
      <w:r w:rsidRPr="00C03209">
        <w:rPr>
          <w:rFonts w:ascii="Times New Roman" w:eastAsia="Calibri" w:hAnsi="Times New Roman" w:cs="Times New Roman"/>
          <w:sz w:val="24"/>
          <w:szCs w:val="24"/>
        </w:rPr>
        <w:t>Barriers that exist for patients to access health care services and improve their quality of life.</w:t>
      </w:r>
    </w:p>
    <w:p w:rsidR="004E1859" w:rsidRPr="00C03209" w:rsidRDefault="004E1859" w:rsidP="008A36A5">
      <w:pPr>
        <w:spacing w:line="480" w:lineRule="auto"/>
        <w:rPr>
          <w:rFonts w:ascii="Times New Roman" w:eastAsia="Calibri" w:hAnsi="Times New Roman" w:cs="Times New Roman"/>
          <w:sz w:val="24"/>
          <w:szCs w:val="24"/>
        </w:rPr>
      </w:pPr>
      <w:r w:rsidRPr="00C03209">
        <w:rPr>
          <w:rFonts w:ascii="Times New Roman" w:eastAsia="Calibri" w:hAnsi="Times New Roman" w:cs="Times New Roman"/>
          <w:sz w:val="24"/>
          <w:szCs w:val="24"/>
        </w:rPr>
        <w:t>Mistrust of technology and health care.</w:t>
      </w:r>
      <w:r>
        <w:rPr>
          <w:rFonts w:ascii="Times New Roman" w:eastAsia="Calibri" w:hAnsi="Times New Roman" w:cs="Times New Roman"/>
          <w:sz w:val="24"/>
          <w:szCs w:val="24"/>
        </w:rPr>
        <w:t xml:space="preserve"> </w:t>
      </w:r>
      <w:r w:rsidRPr="00C03209">
        <w:rPr>
          <w:rFonts w:ascii="Times New Roman" w:eastAsia="Calibri" w:hAnsi="Times New Roman" w:cs="Times New Roman"/>
          <w:sz w:val="24"/>
          <w:szCs w:val="24"/>
        </w:rPr>
        <w:t xml:space="preserve">Some patients may lack trust in the quality of </w:t>
      </w:r>
      <w:proofErr w:type="spellStart"/>
      <w:r w:rsidRPr="00C03209">
        <w:rPr>
          <w:rFonts w:ascii="Times New Roman" w:eastAsia="Calibri" w:hAnsi="Times New Roman" w:cs="Times New Roman"/>
          <w:sz w:val="24"/>
          <w:szCs w:val="24"/>
        </w:rPr>
        <w:t>telehealth</w:t>
      </w:r>
      <w:proofErr w:type="spellEnd"/>
      <w:r w:rsidRPr="00C03209">
        <w:rPr>
          <w:rFonts w:ascii="Times New Roman" w:eastAsia="Calibri" w:hAnsi="Times New Roman" w:cs="Times New Roman"/>
          <w:sz w:val="24"/>
          <w:szCs w:val="24"/>
        </w:rPr>
        <w:t xml:space="preserve"> services. In addition, patients may be concerned about their data security transmitted via </w:t>
      </w:r>
      <w:proofErr w:type="spellStart"/>
      <w:r w:rsidRPr="00C03209">
        <w:rPr>
          <w:rFonts w:ascii="Times New Roman" w:eastAsia="Calibri" w:hAnsi="Times New Roman" w:cs="Times New Roman"/>
          <w:sz w:val="24"/>
          <w:szCs w:val="24"/>
        </w:rPr>
        <w:t>telehealth</w:t>
      </w:r>
      <w:proofErr w:type="spellEnd"/>
      <w:r w:rsidRPr="00C03209">
        <w:rPr>
          <w:rFonts w:ascii="Times New Roman" w:eastAsia="Calibri" w:hAnsi="Times New Roman" w:cs="Times New Roman"/>
          <w:sz w:val="24"/>
          <w:szCs w:val="24"/>
        </w:rPr>
        <w:t>.</w:t>
      </w:r>
    </w:p>
    <w:p w:rsidR="004E1859" w:rsidRPr="00C03209" w:rsidRDefault="004E1859" w:rsidP="008A36A5">
      <w:pPr>
        <w:spacing w:line="480" w:lineRule="auto"/>
        <w:rPr>
          <w:rFonts w:ascii="Times New Roman" w:eastAsia="Calibri" w:hAnsi="Times New Roman" w:cs="Times New Roman"/>
          <w:b/>
          <w:sz w:val="24"/>
          <w:szCs w:val="24"/>
        </w:rPr>
      </w:pPr>
      <w:r w:rsidRPr="00C03209">
        <w:rPr>
          <w:rFonts w:ascii="Times New Roman" w:eastAsia="Calibri" w:hAnsi="Times New Roman" w:cs="Times New Roman"/>
          <w:b/>
          <w:sz w:val="24"/>
          <w:szCs w:val="24"/>
        </w:rPr>
        <w:t xml:space="preserve">Data </w:t>
      </w:r>
      <w:r>
        <w:rPr>
          <w:rFonts w:ascii="Times New Roman" w:eastAsia="Calibri" w:hAnsi="Times New Roman" w:cs="Times New Roman"/>
          <w:b/>
          <w:sz w:val="24"/>
          <w:szCs w:val="24"/>
        </w:rPr>
        <w:t>accuracy and misdiagnosis</w:t>
      </w:r>
    </w:p>
    <w:p w:rsidR="004E1859" w:rsidRPr="00C03209" w:rsidRDefault="004E1859" w:rsidP="008A36A5">
      <w:pPr>
        <w:spacing w:line="480" w:lineRule="auto"/>
        <w:ind w:firstLine="720"/>
        <w:rPr>
          <w:rFonts w:ascii="Times New Roman" w:eastAsia="Calibri" w:hAnsi="Times New Roman" w:cs="Times New Roman"/>
          <w:sz w:val="24"/>
          <w:szCs w:val="24"/>
        </w:rPr>
      </w:pPr>
      <w:r w:rsidRPr="00C03209">
        <w:rPr>
          <w:rFonts w:ascii="Times New Roman" w:eastAsia="Calibri" w:hAnsi="Times New Roman" w:cs="Times New Roman"/>
          <w:sz w:val="24"/>
          <w:szCs w:val="24"/>
        </w:rPr>
        <w:lastRenderedPageBreak/>
        <w:t xml:space="preserve"> Barrier to effective </w:t>
      </w:r>
      <w:proofErr w:type="spellStart"/>
      <w:r w:rsidRPr="00C03209">
        <w:rPr>
          <w:rFonts w:ascii="Times New Roman" w:eastAsia="Calibri" w:hAnsi="Times New Roman" w:cs="Times New Roman"/>
          <w:sz w:val="24"/>
          <w:szCs w:val="24"/>
        </w:rPr>
        <w:t>telehealth</w:t>
      </w:r>
      <w:proofErr w:type="spellEnd"/>
      <w:r w:rsidRPr="00C03209">
        <w:rPr>
          <w:rFonts w:ascii="Times New Roman" w:eastAsia="Calibri" w:hAnsi="Times New Roman" w:cs="Times New Roman"/>
          <w:sz w:val="24"/>
          <w:szCs w:val="24"/>
        </w:rPr>
        <w:t xml:space="preserve"> practice is the accuracy of data transmission. Internet bandwidth affects the validity and reliability for fine motor task measurement. This can result in health care practitioners making clinical treatment decisions and recommendations based on potentially inaccurate patient data if they are ignorant of differences in the technological system.</w:t>
      </w:r>
    </w:p>
    <w:p w:rsidR="004E1859" w:rsidRPr="00C03209" w:rsidRDefault="004E1859" w:rsidP="008A36A5">
      <w:pPr>
        <w:spacing w:line="480" w:lineRule="auto"/>
        <w:rPr>
          <w:rFonts w:ascii="Times New Roman" w:eastAsia="Calibri" w:hAnsi="Times New Roman" w:cs="Times New Roman"/>
          <w:b/>
          <w:sz w:val="24"/>
          <w:szCs w:val="24"/>
        </w:rPr>
      </w:pPr>
      <w:r w:rsidRPr="00C03209">
        <w:rPr>
          <w:rFonts w:ascii="Times New Roman" w:eastAsia="Calibri" w:hAnsi="Times New Roman" w:cs="Times New Roman"/>
          <w:b/>
          <w:sz w:val="24"/>
          <w:szCs w:val="24"/>
        </w:rPr>
        <w:t>Limited access to smartphones.</w:t>
      </w:r>
    </w:p>
    <w:p w:rsidR="004E1859" w:rsidRDefault="004E1859" w:rsidP="008A36A5">
      <w:pPr>
        <w:spacing w:line="480" w:lineRule="auto"/>
        <w:ind w:firstLine="720"/>
        <w:rPr>
          <w:rFonts w:ascii="Times New Roman" w:eastAsia="Calibri" w:hAnsi="Times New Roman" w:cs="Times New Roman"/>
          <w:sz w:val="24"/>
          <w:szCs w:val="24"/>
        </w:rPr>
      </w:pPr>
      <w:r w:rsidRPr="00C03209">
        <w:rPr>
          <w:rFonts w:ascii="Times New Roman" w:eastAsia="Calibri" w:hAnsi="Times New Roman" w:cs="Times New Roman"/>
          <w:sz w:val="24"/>
          <w:szCs w:val="24"/>
        </w:rPr>
        <w:t>The majority of mobile health patients and remote patient monitoring systems require access to smartphones application. However, the rural population is less likely to own smartphones when compared to other populations.</w:t>
      </w:r>
    </w:p>
    <w:p w:rsidR="008A36A5" w:rsidRDefault="008A36A5" w:rsidP="008A36A5">
      <w:pPr>
        <w:spacing w:after="0" w:line="480" w:lineRule="auto"/>
        <w:contextualSpacing/>
        <w:jc w:val="center"/>
        <w:rPr>
          <w:rFonts w:ascii="Times New Roman" w:eastAsia="Calibri" w:hAnsi="Times New Roman" w:cs="Times New Roman"/>
          <w:i/>
          <w:sz w:val="24"/>
          <w:szCs w:val="24"/>
          <w:lang w:val="en-US"/>
        </w:rPr>
      </w:pPr>
    </w:p>
    <w:p w:rsidR="008A36A5" w:rsidRDefault="008A36A5" w:rsidP="008A36A5">
      <w:pPr>
        <w:spacing w:after="0" w:line="480" w:lineRule="auto"/>
        <w:contextualSpacing/>
        <w:jc w:val="center"/>
        <w:rPr>
          <w:rFonts w:ascii="Times New Roman" w:eastAsia="Calibri" w:hAnsi="Times New Roman" w:cs="Times New Roman"/>
          <w:i/>
          <w:sz w:val="24"/>
          <w:szCs w:val="24"/>
          <w:lang w:val="en-US"/>
        </w:rPr>
      </w:pPr>
    </w:p>
    <w:p w:rsidR="008A36A5" w:rsidRDefault="008A36A5" w:rsidP="008A36A5">
      <w:pPr>
        <w:spacing w:after="0" w:line="480" w:lineRule="auto"/>
        <w:contextualSpacing/>
        <w:jc w:val="center"/>
        <w:rPr>
          <w:rFonts w:ascii="Times New Roman" w:eastAsia="Calibri" w:hAnsi="Times New Roman" w:cs="Times New Roman"/>
          <w:i/>
          <w:sz w:val="24"/>
          <w:szCs w:val="24"/>
          <w:lang w:val="en-US"/>
        </w:rPr>
      </w:pPr>
    </w:p>
    <w:p w:rsidR="008A36A5" w:rsidRDefault="008A36A5" w:rsidP="008A36A5">
      <w:pPr>
        <w:spacing w:after="0" w:line="480" w:lineRule="auto"/>
        <w:contextualSpacing/>
        <w:jc w:val="center"/>
        <w:rPr>
          <w:rFonts w:ascii="Times New Roman" w:eastAsia="Calibri" w:hAnsi="Times New Roman" w:cs="Times New Roman"/>
          <w:i/>
          <w:sz w:val="24"/>
          <w:szCs w:val="24"/>
          <w:lang w:val="en-US"/>
        </w:rPr>
      </w:pPr>
    </w:p>
    <w:p w:rsidR="008A36A5" w:rsidRDefault="008A36A5" w:rsidP="008A36A5">
      <w:pPr>
        <w:spacing w:after="0" w:line="480" w:lineRule="auto"/>
        <w:contextualSpacing/>
        <w:jc w:val="center"/>
        <w:rPr>
          <w:rFonts w:ascii="Times New Roman" w:eastAsia="Calibri" w:hAnsi="Times New Roman" w:cs="Times New Roman"/>
          <w:i/>
          <w:sz w:val="24"/>
          <w:szCs w:val="24"/>
          <w:lang w:val="en-US"/>
        </w:rPr>
      </w:pPr>
    </w:p>
    <w:p w:rsidR="008A36A5" w:rsidRDefault="008A36A5" w:rsidP="008A36A5">
      <w:pPr>
        <w:spacing w:after="0" w:line="480" w:lineRule="auto"/>
        <w:contextualSpacing/>
        <w:jc w:val="center"/>
        <w:rPr>
          <w:rFonts w:ascii="Times New Roman" w:eastAsia="Calibri" w:hAnsi="Times New Roman" w:cs="Times New Roman"/>
          <w:i/>
          <w:sz w:val="24"/>
          <w:szCs w:val="24"/>
          <w:lang w:val="en-US"/>
        </w:rPr>
      </w:pPr>
    </w:p>
    <w:p w:rsidR="008A36A5" w:rsidRDefault="008A36A5" w:rsidP="008A36A5">
      <w:pPr>
        <w:spacing w:after="0" w:line="480" w:lineRule="auto"/>
        <w:contextualSpacing/>
        <w:jc w:val="center"/>
        <w:rPr>
          <w:rFonts w:ascii="Times New Roman" w:eastAsia="Calibri" w:hAnsi="Times New Roman" w:cs="Times New Roman"/>
          <w:i/>
          <w:sz w:val="24"/>
          <w:szCs w:val="24"/>
          <w:lang w:val="en-US"/>
        </w:rPr>
      </w:pPr>
    </w:p>
    <w:p w:rsidR="008A36A5" w:rsidRDefault="008A36A5" w:rsidP="008A36A5">
      <w:pPr>
        <w:spacing w:after="0" w:line="480" w:lineRule="auto"/>
        <w:contextualSpacing/>
        <w:jc w:val="center"/>
        <w:rPr>
          <w:rFonts w:ascii="Times New Roman" w:eastAsia="Calibri" w:hAnsi="Times New Roman" w:cs="Times New Roman"/>
          <w:i/>
          <w:sz w:val="24"/>
          <w:szCs w:val="24"/>
          <w:lang w:val="en-US"/>
        </w:rPr>
      </w:pPr>
    </w:p>
    <w:p w:rsidR="008A36A5" w:rsidRDefault="008A36A5" w:rsidP="008A36A5">
      <w:pPr>
        <w:spacing w:after="0" w:line="480" w:lineRule="auto"/>
        <w:contextualSpacing/>
        <w:jc w:val="center"/>
        <w:rPr>
          <w:rFonts w:ascii="Times New Roman" w:eastAsia="Calibri" w:hAnsi="Times New Roman" w:cs="Times New Roman"/>
          <w:i/>
          <w:sz w:val="24"/>
          <w:szCs w:val="24"/>
          <w:lang w:val="en-US"/>
        </w:rPr>
      </w:pPr>
    </w:p>
    <w:p w:rsidR="008A36A5" w:rsidRDefault="008A36A5" w:rsidP="008A36A5">
      <w:pPr>
        <w:spacing w:after="0" w:line="480" w:lineRule="auto"/>
        <w:contextualSpacing/>
        <w:jc w:val="center"/>
        <w:rPr>
          <w:rFonts w:ascii="Times New Roman" w:eastAsia="Calibri" w:hAnsi="Times New Roman" w:cs="Times New Roman"/>
          <w:i/>
          <w:sz w:val="24"/>
          <w:szCs w:val="24"/>
          <w:lang w:val="en-US"/>
        </w:rPr>
      </w:pPr>
    </w:p>
    <w:p w:rsidR="008A36A5" w:rsidRDefault="008A36A5" w:rsidP="008A36A5">
      <w:pPr>
        <w:spacing w:after="0" w:line="480" w:lineRule="auto"/>
        <w:contextualSpacing/>
        <w:jc w:val="center"/>
        <w:rPr>
          <w:rFonts w:ascii="Times New Roman" w:eastAsia="Calibri" w:hAnsi="Times New Roman" w:cs="Times New Roman"/>
          <w:i/>
          <w:sz w:val="24"/>
          <w:szCs w:val="24"/>
          <w:lang w:val="en-US"/>
        </w:rPr>
      </w:pPr>
    </w:p>
    <w:p w:rsidR="008A36A5" w:rsidRDefault="008A36A5" w:rsidP="008A36A5">
      <w:pPr>
        <w:spacing w:after="0" w:line="480" w:lineRule="auto"/>
        <w:contextualSpacing/>
        <w:jc w:val="center"/>
        <w:rPr>
          <w:rFonts w:ascii="Times New Roman" w:eastAsia="Calibri" w:hAnsi="Times New Roman" w:cs="Times New Roman"/>
          <w:i/>
          <w:sz w:val="24"/>
          <w:szCs w:val="24"/>
          <w:lang w:val="en-US"/>
        </w:rPr>
      </w:pPr>
    </w:p>
    <w:p w:rsidR="008A36A5" w:rsidRDefault="008A36A5" w:rsidP="008A36A5">
      <w:pPr>
        <w:spacing w:after="0" w:line="480" w:lineRule="auto"/>
        <w:contextualSpacing/>
        <w:jc w:val="center"/>
        <w:rPr>
          <w:rFonts w:ascii="Times New Roman" w:eastAsia="Calibri" w:hAnsi="Times New Roman" w:cs="Times New Roman"/>
          <w:i/>
          <w:sz w:val="24"/>
          <w:szCs w:val="24"/>
          <w:lang w:val="en-US"/>
        </w:rPr>
      </w:pPr>
    </w:p>
    <w:p w:rsidR="008A36A5" w:rsidRDefault="008A36A5" w:rsidP="008A36A5">
      <w:pPr>
        <w:spacing w:after="0" w:line="480" w:lineRule="auto"/>
        <w:contextualSpacing/>
        <w:jc w:val="center"/>
        <w:rPr>
          <w:rFonts w:ascii="Times New Roman" w:eastAsia="Calibri" w:hAnsi="Times New Roman" w:cs="Times New Roman"/>
          <w:i/>
          <w:sz w:val="24"/>
          <w:szCs w:val="24"/>
          <w:lang w:val="en-US"/>
        </w:rPr>
      </w:pPr>
    </w:p>
    <w:p w:rsidR="008A36A5" w:rsidRDefault="008A36A5" w:rsidP="008A36A5">
      <w:pPr>
        <w:spacing w:after="0" w:line="480" w:lineRule="auto"/>
        <w:contextualSpacing/>
        <w:jc w:val="center"/>
        <w:rPr>
          <w:rFonts w:ascii="Times New Roman" w:eastAsia="Calibri" w:hAnsi="Times New Roman" w:cs="Times New Roman"/>
          <w:i/>
          <w:sz w:val="24"/>
          <w:szCs w:val="24"/>
          <w:lang w:val="en-US"/>
        </w:rPr>
      </w:pPr>
    </w:p>
    <w:p w:rsidR="004E1859" w:rsidRPr="00144063" w:rsidRDefault="004E1859" w:rsidP="008A36A5">
      <w:pPr>
        <w:spacing w:after="0" w:line="480" w:lineRule="auto"/>
        <w:contextualSpacing/>
        <w:jc w:val="center"/>
        <w:rPr>
          <w:rFonts w:ascii="Times New Roman" w:eastAsia="Calibri" w:hAnsi="Times New Roman" w:cs="Times New Roman"/>
          <w:i/>
          <w:sz w:val="24"/>
          <w:szCs w:val="24"/>
          <w:lang w:val="en-US"/>
        </w:rPr>
      </w:pPr>
      <w:bookmarkStart w:id="0" w:name="_GoBack"/>
      <w:bookmarkEnd w:id="0"/>
      <w:r w:rsidRPr="002647D8">
        <w:rPr>
          <w:rFonts w:ascii="Times New Roman" w:eastAsia="Calibri" w:hAnsi="Times New Roman" w:cs="Times New Roman"/>
          <w:i/>
          <w:sz w:val="24"/>
          <w:szCs w:val="24"/>
          <w:lang w:val="en-US"/>
        </w:rPr>
        <w:lastRenderedPageBreak/>
        <w:t>Work Cited</w:t>
      </w:r>
    </w:p>
    <w:p w:rsidR="004E1859" w:rsidRDefault="004E1859" w:rsidP="008A36A5">
      <w:pPr>
        <w:spacing w:line="480" w:lineRule="auto"/>
        <w:rPr>
          <w:rFonts w:ascii="Times New Roman" w:eastAsia="Calibri" w:hAnsi="Times New Roman" w:cs="Times New Roman"/>
          <w:sz w:val="24"/>
          <w:szCs w:val="24"/>
        </w:rPr>
      </w:pPr>
    </w:p>
    <w:p w:rsidR="004E1859" w:rsidRPr="00144063" w:rsidRDefault="004E1859" w:rsidP="008A36A5">
      <w:pPr>
        <w:spacing w:after="0" w:line="480" w:lineRule="auto"/>
        <w:ind w:hanging="720"/>
        <w:rPr>
          <w:rFonts w:ascii="Times New Roman" w:eastAsia="Times New Roman" w:hAnsi="Times New Roman" w:cs="Times New Roman"/>
          <w:sz w:val="24"/>
          <w:szCs w:val="24"/>
          <w:lang w:val="en-US"/>
        </w:rPr>
      </w:pPr>
      <w:r w:rsidRPr="00144063">
        <w:rPr>
          <w:rFonts w:ascii="Times New Roman" w:eastAsia="Times New Roman" w:hAnsi="Times New Roman" w:cs="Times New Roman"/>
          <w:sz w:val="24"/>
          <w:szCs w:val="24"/>
          <w:lang w:val="en-US"/>
        </w:rPr>
        <w:t xml:space="preserve">Lathrop, Breana, and D. </w:t>
      </w:r>
      <w:proofErr w:type="spellStart"/>
      <w:r w:rsidRPr="00144063">
        <w:rPr>
          <w:rFonts w:ascii="Times New Roman" w:eastAsia="Times New Roman" w:hAnsi="Times New Roman" w:cs="Times New Roman"/>
          <w:sz w:val="24"/>
          <w:szCs w:val="24"/>
          <w:lang w:val="en-US"/>
        </w:rPr>
        <w:t>Hodnicki</w:t>
      </w:r>
      <w:proofErr w:type="spellEnd"/>
      <w:r w:rsidRPr="00144063">
        <w:rPr>
          <w:rFonts w:ascii="Times New Roman" w:eastAsia="Times New Roman" w:hAnsi="Times New Roman" w:cs="Times New Roman"/>
          <w:sz w:val="24"/>
          <w:szCs w:val="24"/>
          <w:lang w:val="en-US"/>
        </w:rPr>
        <w:t xml:space="preserve">. "The Affordable Care Act: Primary care and the doctor of nursing practice nurse." </w:t>
      </w:r>
      <w:r w:rsidRPr="00144063">
        <w:rPr>
          <w:rFonts w:ascii="Times New Roman" w:eastAsia="Times New Roman" w:hAnsi="Times New Roman" w:cs="Times New Roman"/>
          <w:i/>
          <w:iCs/>
          <w:sz w:val="24"/>
          <w:szCs w:val="24"/>
          <w:lang w:val="en-US"/>
        </w:rPr>
        <w:t>Online Journal of Issues in Nursing</w:t>
      </w:r>
      <w:r w:rsidRPr="00144063">
        <w:rPr>
          <w:rFonts w:ascii="Times New Roman" w:eastAsia="Times New Roman" w:hAnsi="Times New Roman" w:cs="Times New Roman"/>
          <w:sz w:val="24"/>
          <w:szCs w:val="24"/>
          <w:lang w:val="en-US"/>
        </w:rPr>
        <w:t xml:space="preserve"> 19.2 (2014).</w:t>
      </w:r>
    </w:p>
    <w:p w:rsidR="00F507F6" w:rsidRDefault="008A36A5" w:rsidP="008A36A5">
      <w:pPr>
        <w:spacing w:line="480" w:lineRule="auto"/>
      </w:pPr>
    </w:p>
    <w:sectPr w:rsidR="00F507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859"/>
    <w:rsid w:val="004E1859"/>
    <w:rsid w:val="008A36A5"/>
    <w:rsid w:val="009F4913"/>
    <w:rsid w:val="00CE4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A94092-92F8-422A-908E-139D568A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8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Teacher-5D5D81</dc:creator>
  <cp:keywords/>
  <dc:description/>
  <cp:lastModifiedBy>Teacher-5D5D81</cp:lastModifiedBy>
  <cp:revision>2</cp:revision>
  <dcterms:created xsi:type="dcterms:W3CDTF">2022-01-18T20:55:00Z</dcterms:created>
  <dcterms:modified xsi:type="dcterms:W3CDTF">2022-01-18T20:55:00Z</dcterms:modified>
</cp:coreProperties>
</file>